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4AD1" w14:textId="59563B25" w:rsidR="00623F25" w:rsidRDefault="00623F25"/>
    <w:p w14:paraId="0A5F7E86" w14:textId="2D6F6EF8" w:rsidR="6A6C3DC8" w:rsidRDefault="6A6C3DC8"/>
    <w:p w14:paraId="4595E6D6" w14:textId="3466760A" w:rsidR="6A6C3DC8" w:rsidRDefault="6A6C3DC8"/>
    <w:p w14:paraId="3D0BE881" w14:textId="0A0A4F58" w:rsidR="6A6C3DC8" w:rsidRDefault="6A6C3DC8"/>
    <w:p w14:paraId="74140533" w14:textId="0DB41D5E" w:rsidR="6A6C3DC8" w:rsidRDefault="6A6C3DC8"/>
    <w:p w14:paraId="3D5893AB" w14:textId="77777777" w:rsidR="00782D37" w:rsidRDefault="00782D37"/>
    <w:tbl>
      <w:tblPr>
        <w:tblW w:w="8537" w:type="dxa"/>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5"/>
        <w:gridCol w:w="3402"/>
        <w:gridCol w:w="992"/>
        <w:gridCol w:w="2288"/>
      </w:tblGrid>
      <w:tr w:rsidR="00782D37" w14:paraId="162C67C5" w14:textId="77777777" w:rsidTr="005C7AFE">
        <w:trPr>
          <w:trHeight w:val="421"/>
        </w:trPr>
        <w:tc>
          <w:tcPr>
            <w:tcW w:w="8537" w:type="dxa"/>
            <w:gridSpan w:val="4"/>
            <w:tcBorders>
              <w:left w:val="single" w:sz="8" w:space="0" w:color="000000"/>
              <w:bottom w:val="single" w:sz="8" w:space="0" w:color="000000"/>
              <w:right w:val="single" w:sz="8" w:space="0" w:color="000000"/>
            </w:tcBorders>
          </w:tcPr>
          <w:p w14:paraId="430AF381" w14:textId="77777777" w:rsidR="00782D37" w:rsidRDefault="00782D37" w:rsidP="005C7AFE">
            <w:pPr>
              <w:pStyle w:val="TableParagraph"/>
              <w:spacing w:line="336" w:lineRule="exact"/>
              <w:ind w:left="15" w:firstLine="0"/>
              <w:jc w:val="center"/>
              <w:rPr>
                <w:b/>
                <w:sz w:val="28"/>
              </w:rPr>
            </w:pPr>
            <w:r>
              <w:rPr>
                <w:b/>
                <w:sz w:val="28"/>
              </w:rPr>
              <w:t>Job</w:t>
            </w:r>
            <w:r>
              <w:rPr>
                <w:b/>
                <w:spacing w:val="-6"/>
                <w:sz w:val="28"/>
              </w:rPr>
              <w:t xml:space="preserve"> </w:t>
            </w:r>
            <w:r>
              <w:rPr>
                <w:b/>
                <w:spacing w:val="-2"/>
                <w:sz w:val="28"/>
              </w:rPr>
              <w:t>Description</w:t>
            </w:r>
          </w:p>
        </w:tc>
      </w:tr>
      <w:tr w:rsidR="00782D37" w14:paraId="0EE9E268" w14:textId="77777777" w:rsidTr="00E33BEE">
        <w:trPr>
          <w:trHeight w:val="501"/>
        </w:trPr>
        <w:tc>
          <w:tcPr>
            <w:tcW w:w="1855" w:type="dxa"/>
            <w:tcBorders>
              <w:top w:val="single" w:sz="8" w:space="0" w:color="000000"/>
              <w:left w:val="single" w:sz="8" w:space="0" w:color="000000"/>
              <w:bottom w:val="single" w:sz="8" w:space="0" w:color="000000"/>
            </w:tcBorders>
          </w:tcPr>
          <w:p w14:paraId="4095A41E" w14:textId="77777777" w:rsidR="00782D37" w:rsidRDefault="00782D37" w:rsidP="00323F59">
            <w:pPr>
              <w:pStyle w:val="TableParagraph"/>
              <w:spacing w:before="158"/>
              <w:ind w:left="59" w:firstLine="0"/>
              <w:rPr>
                <w:b/>
                <w:sz w:val="24"/>
              </w:rPr>
            </w:pPr>
            <w:r w:rsidRPr="00323F59">
              <w:rPr>
                <w:b/>
                <w:sz w:val="24"/>
              </w:rPr>
              <w:t>Title:</w:t>
            </w:r>
          </w:p>
        </w:tc>
        <w:tc>
          <w:tcPr>
            <w:tcW w:w="6682" w:type="dxa"/>
            <w:gridSpan w:val="3"/>
            <w:tcBorders>
              <w:top w:val="single" w:sz="8" w:space="0" w:color="000000"/>
              <w:bottom w:val="single" w:sz="8" w:space="0" w:color="000000"/>
              <w:right w:val="single" w:sz="8" w:space="0" w:color="000000"/>
            </w:tcBorders>
          </w:tcPr>
          <w:p w14:paraId="47C5EB8A" w14:textId="77777777" w:rsidR="00782D37" w:rsidRDefault="00782D37" w:rsidP="00323F59">
            <w:pPr>
              <w:pStyle w:val="TableParagraph"/>
              <w:spacing w:before="158"/>
              <w:ind w:left="59" w:firstLine="0"/>
              <w:rPr>
                <w:sz w:val="24"/>
              </w:rPr>
            </w:pPr>
            <w:r w:rsidRPr="00323F59">
              <w:rPr>
                <w:b/>
                <w:sz w:val="24"/>
              </w:rPr>
              <w:t>Head of Compliance</w:t>
            </w:r>
          </w:p>
        </w:tc>
      </w:tr>
      <w:tr w:rsidR="00782D37" w14:paraId="3C2AC286" w14:textId="77777777" w:rsidTr="00C82EEF">
        <w:trPr>
          <w:trHeight w:val="371"/>
        </w:trPr>
        <w:tc>
          <w:tcPr>
            <w:tcW w:w="1855" w:type="dxa"/>
            <w:vMerge w:val="restart"/>
            <w:tcBorders>
              <w:top w:val="single" w:sz="8" w:space="0" w:color="000000"/>
              <w:left w:val="single" w:sz="8" w:space="0" w:color="000000"/>
              <w:bottom w:val="single" w:sz="8" w:space="0" w:color="000000"/>
            </w:tcBorders>
          </w:tcPr>
          <w:p w14:paraId="3D9F5805" w14:textId="1F6E2AF5" w:rsidR="00782D37" w:rsidRDefault="00323F59" w:rsidP="005C7AFE">
            <w:pPr>
              <w:pStyle w:val="TableParagraph"/>
              <w:spacing w:before="197" w:line="300" w:lineRule="auto"/>
              <w:ind w:left="5" w:firstLine="0"/>
              <w:rPr>
                <w:b/>
                <w:sz w:val="24"/>
              </w:rPr>
            </w:pPr>
            <w:r>
              <w:rPr>
                <w:b/>
                <w:spacing w:val="-2"/>
                <w:sz w:val="24"/>
              </w:rPr>
              <w:t>Business Line</w:t>
            </w:r>
            <w:r w:rsidR="00782D37">
              <w:rPr>
                <w:b/>
                <w:spacing w:val="-2"/>
                <w:sz w:val="24"/>
              </w:rPr>
              <w:t>/Department:</w:t>
            </w:r>
          </w:p>
        </w:tc>
        <w:tc>
          <w:tcPr>
            <w:tcW w:w="3402" w:type="dxa"/>
            <w:vMerge w:val="restart"/>
            <w:tcBorders>
              <w:top w:val="single" w:sz="8" w:space="0" w:color="000000"/>
              <w:bottom w:val="single" w:sz="8" w:space="0" w:color="000000"/>
            </w:tcBorders>
          </w:tcPr>
          <w:p w14:paraId="2500800D" w14:textId="5C27D135" w:rsidR="00782D37" w:rsidRDefault="00782D37" w:rsidP="005C7AFE">
            <w:pPr>
              <w:pStyle w:val="TableParagraph"/>
              <w:spacing w:before="104"/>
              <w:ind w:left="0" w:firstLine="0"/>
              <w:rPr>
                <w:rFonts w:ascii="Times New Roman"/>
                <w:sz w:val="24"/>
              </w:rPr>
            </w:pPr>
            <w:r>
              <w:rPr>
                <w:rFonts w:ascii="Times New Roman"/>
                <w:noProof/>
                <w:sz w:val="20"/>
              </w:rPr>
              <w:drawing>
                <wp:anchor distT="0" distB="0" distL="0" distR="0" simplePos="0" relativeHeight="251659264" behindDoc="1" locked="0" layoutInCell="1" allowOverlap="1" wp14:anchorId="7E6E6531" wp14:editId="4D1ACF90">
                  <wp:simplePos x="0" y="0"/>
                  <wp:positionH relativeFrom="page">
                    <wp:posOffset>-2501265</wp:posOffset>
                  </wp:positionH>
                  <wp:positionV relativeFrom="page">
                    <wp:posOffset>-1885315</wp:posOffset>
                  </wp:positionV>
                  <wp:extent cx="7559040" cy="1068197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9040" cy="10681970"/>
                          </a:xfrm>
                          <a:prstGeom prst="rect">
                            <a:avLst/>
                          </a:prstGeom>
                        </pic:spPr>
                      </pic:pic>
                    </a:graphicData>
                  </a:graphic>
                  <wp14:sizeRelH relativeFrom="margin">
                    <wp14:pctWidth>0</wp14:pctWidth>
                  </wp14:sizeRelH>
                  <wp14:sizeRelV relativeFrom="margin">
                    <wp14:pctHeight>0</wp14:pctHeight>
                  </wp14:sizeRelV>
                </wp:anchor>
              </w:drawing>
            </w:r>
          </w:p>
          <w:p w14:paraId="1F3D2A19" w14:textId="77777777" w:rsidR="00782D37" w:rsidRDefault="00782D37" w:rsidP="005C7AFE">
            <w:pPr>
              <w:pStyle w:val="TableParagraph"/>
              <w:ind w:left="3" w:firstLine="0"/>
              <w:rPr>
                <w:sz w:val="24"/>
              </w:rPr>
            </w:pPr>
            <w:r>
              <w:rPr>
                <w:spacing w:val="-4"/>
                <w:sz w:val="24"/>
              </w:rPr>
              <w:t>Compliance</w:t>
            </w:r>
          </w:p>
        </w:tc>
        <w:tc>
          <w:tcPr>
            <w:tcW w:w="992" w:type="dxa"/>
            <w:tcBorders>
              <w:top w:val="single" w:sz="8" w:space="0" w:color="000000"/>
              <w:bottom w:val="single" w:sz="8" w:space="0" w:color="000000"/>
            </w:tcBorders>
          </w:tcPr>
          <w:p w14:paraId="0884BD7A" w14:textId="77777777" w:rsidR="00782D37" w:rsidRDefault="00782D37" w:rsidP="00C82EEF">
            <w:pPr>
              <w:pStyle w:val="TableParagraph"/>
              <w:spacing w:before="10"/>
              <w:ind w:left="0" w:firstLine="0"/>
              <w:rPr>
                <w:i/>
                <w:sz w:val="24"/>
              </w:rPr>
            </w:pPr>
            <w:r>
              <w:rPr>
                <w:i/>
                <w:spacing w:val="-2"/>
                <w:sz w:val="24"/>
              </w:rPr>
              <w:t>PCF/CF</w:t>
            </w:r>
          </w:p>
        </w:tc>
        <w:tc>
          <w:tcPr>
            <w:tcW w:w="2288" w:type="dxa"/>
            <w:tcBorders>
              <w:top w:val="single" w:sz="8" w:space="0" w:color="000000"/>
              <w:bottom w:val="single" w:sz="8" w:space="0" w:color="000000"/>
              <w:right w:val="single" w:sz="8" w:space="0" w:color="000000"/>
            </w:tcBorders>
          </w:tcPr>
          <w:p w14:paraId="6765B43B" w14:textId="77777777" w:rsidR="00782D37" w:rsidRDefault="00782D37" w:rsidP="00C82EEF">
            <w:pPr>
              <w:pStyle w:val="TableParagraph"/>
              <w:spacing w:before="10"/>
              <w:ind w:left="0" w:firstLine="0"/>
              <w:rPr>
                <w:i/>
                <w:spacing w:val="-5"/>
                <w:sz w:val="24"/>
              </w:rPr>
            </w:pPr>
            <w:r>
              <w:rPr>
                <w:i/>
                <w:spacing w:val="-5"/>
                <w:sz w:val="24"/>
              </w:rPr>
              <w:t>PCF-12</w:t>
            </w:r>
          </w:p>
          <w:p w14:paraId="43C01D24" w14:textId="77777777" w:rsidR="00782D37" w:rsidRDefault="00782D37" w:rsidP="00C82EEF">
            <w:pPr>
              <w:pStyle w:val="TableParagraph"/>
              <w:spacing w:before="10"/>
              <w:ind w:left="0" w:firstLine="0"/>
              <w:rPr>
                <w:i/>
                <w:sz w:val="24"/>
              </w:rPr>
            </w:pPr>
            <w:r>
              <w:rPr>
                <w:i/>
                <w:spacing w:val="-5"/>
                <w:sz w:val="24"/>
              </w:rPr>
              <w:t>PCF-52</w:t>
            </w:r>
          </w:p>
        </w:tc>
      </w:tr>
      <w:tr w:rsidR="00782D37" w14:paraId="2BBECC4D" w14:textId="77777777" w:rsidTr="00C82EEF">
        <w:trPr>
          <w:trHeight w:val="549"/>
        </w:trPr>
        <w:tc>
          <w:tcPr>
            <w:tcW w:w="1855" w:type="dxa"/>
            <w:vMerge/>
            <w:tcBorders>
              <w:top w:val="nil"/>
              <w:left w:val="single" w:sz="8" w:space="0" w:color="000000"/>
              <w:bottom w:val="single" w:sz="8" w:space="0" w:color="000000"/>
            </w:tcBorders>
          </w:tcPr>
          <w:p w14:paraId="4F755D5B" w14:textId="77777777" w:rsidR="00782D37" w:rsidRDefault="00782D37" w:rsidP="005C7AFE">
            <w:pPr>
              <w:rPr>
                <w:sz w:val="2"/>
                <w:szCs w:val="2"/>
              </w:rPr>
            </w:pPr>
          </w:p>
        </w:tc>
        <w:tc>
          <w:tcPr>
            <w:tcW w:w="3402" w:type="dxa"/>
            <w:vMerge/>
            <w:tcBorders>
              <w:top w:val="nil"/>
              <w:bottom w:val="single" w:sz="8" w:space="0" w:color="000000"/>
            </w:tcBorders>
          </w:tcPr>
          <w:p w14:paraId="648B3B42" w14:textId="77777777" w:rsidR="00782D37" w:rsidRDefault="00782D37" w:rsidP="005C7AFE">
            <w:pPr>
              <w:rPr>
                <w:sz w:val="2"/>
                <w:szCs w:val="2"/>
              </w:rPr>
            </w:pPr>
          </w:p>
        </w:tc>
        <w:tc>
          <w:tcPr>
            <w:tcW w:w="992" w:type="dxa"/>
            <w:tcBorders>
              <w:top w:val="single" w:sz="8" w:space="0" w:color="000000"/>
              <w:bottom w:val="single" w:sz="8" w:space="0" w:color="000000"/>
            </w:tcBorders>
          </w:tcPr>
          <w:p w14:paraId="4C6D2C97" w14:textId="77777777" w:rsidR="00782D37" w:rsidRDefault="00782D37" w:rsidP="00C82EEF">
            <w:pPr>
              <w:pStyle w:val="TableParagraph"/>
              <w:spacing w:before="10"/>
              <w:ind w:left="0" w:right="-15" w:firstLine="0"/>
              <w:rPr>
                <w:i/>
                <w:sz w:val="24"/>
              </w:rPr>
            </w:pPr>
            <w:r>
              <w:rPr>
                <w:i/>
                <w:spacing w:val="-2"/>
                <w:sz w:val="24"/>
              </w:rPr>
              <w:t>Approval</w:t>
            </w:r>
          </w:p>
        </w:tc>
        <w:tc>
          <w:tcPr>
            <w:tcW w:w="2288" w:type="dxa"/>
            <w:tcBorders>
              <w:top w:val="single" w:sz="8" w:space="0" w:color="000000"/>
              <w:bottom w:val="single" w:sz="8" w:space="0" w:color="000000"/>
              <w:right w:val="single" w:sz="8" w:space="0" w:color="000000"/>
            </w:tcBorders>
          </w:tcPr>
          <w:p w14:paraId="13547FFD" w14:textId="77777777" w:rsidR="00782D37" w:rsidRDefault="00782D37" w:rsidP="00C82EEF">
            <w:pPr>
              <w:pStyle w:val="TableParagraph"/>
              <w:spacing w:before="10"/>
              <w:ind w:left="0" w:firstLine="0"/>
              <w:rPr>
                <w:rFonts w:ascii="Times New Roman"/>
                <w:sz w:val="24"/>
              </w:rPr>
            </w:pPr>
            <w:r w:rsidRPr="00B636E8">
              <w:rPr>
                <w:i/>
                <w:spacing w:val="-5"/>
                <w:sz w:val="24"/>
              </w:rPr>
              <w:t>Subject to CBI Approval</w:t>
            </w:r>
          </w:p>
        </w:tc>
      </w:tr>
      <w:tr w:rsidR="00782D37" w14:paraId="793325C5" w14:textId="77777777" w:rsidTr="00E33BEE">
        <w:trPr>
          <w:trHeight w:val="684"/>
        </w:trPr>
        <w:tc>
          <w:tcPr>
            <w:tcW w:w="1855" w:type="dxa"/>
            <w:tcBorders>
              <w:top w:val="single" w:sz="8" w:space="0" w:color="000000"/>
              <w:left w:val="single" w:sz="8" w:space="0" w:color="000000"/>
              <w:bottom w:val="single" w:sz="8" w:space="0" w:color="000000"/>
            </w:tcBorders>
          </w:tcPr>
          <w:p w14:paraId="51B07313" w14:textId="77777777" w:rsidR="00782D37" w:rsidRDefault="00782D37" w:rsidP="005C7AFE">
            <w:pPr>
              <w:pStyle w:val="TableParagraph"/>
              <w:spacing w:before="158"/>
              <w:ind w:left="59" w:firstLine="0"/>
              <w:rPr>
                <w:b/>
                <w:sz w:val="24"/>
              </w:rPr>
            </w:pPr>
            <w:r>
              <w:rPr>
                <w:b/>
                <w:sz w:val="24"/>
              </w:rPr>
              <w:t>Reporting</w:t>
            </w:r>
            <w:r>
              <w:rPr>
                <w:b/>
                <w:spacing w:val="-8"/>
                <w:sz w:val="24"/>
              </w:rPr>
              <w:t xml:space="preserve"> </w:t>
            </w:r>
            <w:r>
              <w:rPr>
                <w:b/>
                <w:spacing w:val="-5"/>
                <w:sz w:val="24"/>
              </w:rPr>
              <w:t>to:</w:t>
            </w:r>
          </w:p>
        </w:tc>
        <w:tc>
          <w:tcPr>
            <w:tcW w:w="6682" w:type="dxa"/>
            <w:gridSpan w:val="3"/>
            <w:tcBorders>
              <w:top w:val="single" w:sz="8" w:space="0" w:color="000000"/>
              <w:bottom w:val="single" w:sz="8" w:space="0" w:color="000000"/>
              <w:right w:val="single" w:sz="8" w:space="0" w:color="000000"/>
            </w:tcBorders>
          </w:tcPr>
          <w:p w14:paraId="793B7637" w14:textId="77777777" w:rsidR="00782D37" w:rsidRDefault="00782D37" w:rsidP="005C7AFE">
            <w:pPr>
              <w:pStyle w:val="TableParagraph"/>
              <w:spacing w:before="158"/>
              <w:ind w:left="3" w:firstLine="0"/>
              <w:rPr>
                <w:sz w:val="24"/>
              </w:rPr>
            </w:pPr>
            <w:r>
              <w:rPr>
                <w:sz w:val="24"/>
              </w:rPr>
              <w:t>Chief</w:t>
            </w:r>
            <w:r>
              <w:rPr>
                <w:spacing w:val="-3"/>
                <w:sz w:val="24"/>
              </w:rPr>
              <w:t xml:space="preserve"> </w:t>
            </w:r>
            <w:r>
              <w:rPr>
                <w:sz w:val="24"/>
              </w:rPr>
              <w:t>Risk</w:t>
            </w:r>
            <w:r>
              <w:rPr>
                <w:spacing w:val="-1"/>
                <w:sz w:val="24"/>
              </w:rPr>
              <w:t xml:space="preserve"> </w:t>
            </w:r>
            <w:r>
              <w:rPr>
                <w:sz w:val="24"/>
              </w:rPr>
              <w:t>Officer</w:t>
            </w:r>
            <w:r>
              <w:rPr>
                <w:spacing w:val="-1"/>
                <w:sz w:val="24"/>
              </w:rPr>
              <w:t xml:space="preserve"> </w:t>
            </w:r>
            <w:r>
              <w:rPr>
                <w:spacing w:val="-4"/>
                <w:sz w:val="24"/>
              </w:rPr>
              <w:t>(CRO)</w:t>
            </w:r>
          </w:p>
        </w:tc>
      </w:tr>
      <w:tr w:rsidR="00782D37" w14:paraId="0712DB14" w14:textId="77777777" w:rsidTr="00E33BEE">
        <w:trPr>
          <w:trHeight w:val="684"/>
        </w:trPr>
        <w:tc>
          <w:tcPr>
            <w:tcW w:w="1855" w:type="dxa"/>
            <w:tcBorders>
              <w:top w:val="single" w:sz="8" w:space="0" w:color="000000"/>
              <w:left w:val="single" w:sz="8" w:space="0" w:color="000000"/>
              <w:bottom w:val="single" w:sz="8" w:space="0" w:color="000000"/>
            </w:tcBorders>
          </w:tcPr>
          <w:p w14:paraId="3A3CF845" w14:textId="77777777" w:rsidR="00782D37" w:rsidRDefault="00782D37" w:rsidP="005C7AFE">
            <w:pPr>
              <w:pStyle w:val="TableParagraph"/>
              <w:spacing w:before="158"/>
              <w:ind w:left="59" w:firstLine="0"/>
              <w:rPr>
                <w:b/>
                <w:sz w:val="24"/>
              </w:rPr>
            </w:pPr>
            <w:r>
              <w:rPr>
                <w:b/>
                <w:spacing w:val="-2"/>
                <w:sz w:val="24"/>
              </w:rPr>
              <w:t>Role and Responsibilities:</w:t>
            </w:r>
          </w:p>
        </w:tc>
        <w:tc>
          <w:tcPr>
            <w:tcW w:w="6682" w:type="dxa"/>
            <w:gridSpan w:val="3"/>
            <w:tcBorders>
              <w:top w:val="single" w:sz="8" w:space="0" w:color="000000"/>
              <w:bottom w:val="single" w:sz="8" w:space="0" w:color="000000"/>
              <w:right w:val="single" w:sz="8" w:space="0" w:color="000000"/>
            </w:tcBorders>
          </w:tcPr>
          <w:p w14:paraId="500D32BA" w14:textId="4BE02EDB" w:rsidR="00782D37" w:rsidRPr="00C82EEF" w:rsidRDefault="00782D37" w:rsidP="00A6771C">
            <w:pPr>
              <w:pStyle w:val="TableParagraph"/>
              <w:spacing w:before="158"/>
              <w:ind w:left="59" w:firstLine="0"/>
            </w:pPr>
            <w:r w:rsidRPr="00C82EEF">
              <w:t xml:space="preserve">The Head of </w:t>
            </w:r>
            <w:r w:rsidRPr="00C82EEF">
              <w:rPr>
                <w:bCs/>
              </w:rPr>
              <w:t>Compliance</w:t>
            </w:r>
            <w:r w:rsidR="00D853E7" w:rsidRPr="00C82EEF">
              <w:rPr>
                <w:bCs/>
              </w:rPr>
              <w:t xml:space="preserve"> </w:t>
            </w:r>
            <w:r w:rsidR="00D853E7" w:rsidRPr="00C82EEF">
              <w:t>has overall responsibility for managing the operation of the compliance function and reporting directly to the Board or relevant subcommittee, or both, on compliance matters</w:t>
            </w:r>
            <w:r w:rsidR="00615D69" w:rsidRPr="00C82EEF">
              <w:t>, including AML/CFT matters</w:t>
            </w:r>
            <w:r w:rsidR="00D853E7" w:rsidRPr="00C82EEF">
              <w:t>.</w:t>
            </w:r>
            <w:r w:rsidRPr="00C82EEF">
              <w:t xml:space="preserve"> The role provides strategic direction, regulatory expertise, and robust oversight to protect Dilosk from financial, regulatory, conduct, and reputational damage arising from non-compliance. Member of the </w:t>
            </w:r>
            <w:r w:rsidR="009C2052" w:rsidRPr="00C82EEF">
              <w:t>f</w:t>
            </w:r>
            <w:r w:rsidRPr="00C82EEF">
              <w:t>irm’s Senior Management Team.</w:t>
            </w:r>
          </w:p>
          <w:p w14:paraId="6AC3A364" w14:textId="77777777" w:rsidR="00782D37" w:rsidRPr="00C82EEF" w:rsidRDefault="00782D37" w:rsidP="00A6771C">
            <w:pPr>
              <w:pStyle w:val="TableParagraph"/>
              <w:spacing w:before="158"/>
              <w:ind w:left="59" w:firstLine="0"/>
              <w:rPr>
                <w:bCs/>
              </w:rPr>
            </w:pPr>
            <w:r w:rsidRPr="00C82EEF">
              <w:rPr>
                <w:bCs/>
              </w:rPr>
              <w:t>Main responsibilities include:</w:t>
            </w:r>
          </w:p>
          <w:p w14:paraId="4928B0DE" w14:textId="2650DD78" w:rsidR="00D853E7" w:rsidRPr="00C82EEF" w:rsidRDefault="00D853E7" w:rsidP="00A6771C">
            <w:pPr>
              <w:pStyle w:val="TableParagraph"/>
              <w:numPr>
                <w:ilvl w:val="0"/>
                <w:numId w:val="2"/>
              </w:numPr>
              <w:tabs>
                <w:tab w:val="left" w:pos="723"/>
              </w:tabs>
              <w:spacing w:line="256" w:lineRule="auto"/>
              <w:ind w:right="-15"/>
              <w:rPr>
                <w:lang w:val="en-IE"/>
              </w:rPr>
            </w:pPr>
            <w:r w:rsidRPr="00C82EEF">
              <w:t>Advis</w:t>
            </w:r>
            <w:r w:rsidR="00256BEE">
              <w:t>e</w:t>
            </w:r>
            <w:r w:rsidRPr="00C82EEF">
              <w:t xml:space="preserve"> the </w:t>
            </w:r>
            <w:r w:rsidR="006875EA" w:rsidRPr="00C82EEF">
              <w:t>B</w:t>
            </w:r>
            <w:r w:rsidRPr="00C82EEF">
              <w:t xml:space="preserve">oard on measures to be taken to ensure compliance with applicable laws, rules, regulations and standards, and </w:t>
            </w:r>
            <w:r w:rsidR="00C469CD" w:rsidRPr="00C82EEF">
              <w:t>assess</w:t>
            </w:r>
            <w:r w:rsidRPr="00C82EEF">
              <w:t xml:space="preserve"> the possible impact of any changes in the legal or regulatory environment on the institution’s activities and compliance framework</w:t>
            </w:r>
            <w:r w:rsidR="00615D69" w:rsidRPr="00C82EEF">
              <w:t xml:space="preserve"> (including AML/CFT)</w:t>
            </w:r>
            <w:r w:rsidR="00A6771C" w:rsidRPr="00C82EEF">
              <w:t>.</w:t>
            </w:r>
          </w:p>
          <w:p w14:paraId="7A8926E1" w14:textId="77777777" w:rsidR="00782D37" w:rsidRPr="00C82EEF" w:rsidRDefault="00782D37" w:rsidP="00A6771C">
            <w:pPr>
              <w:pStyle w:val="TableParagraph"/>
              <w:numPr>
                <w:ilvl w:val="0"/>
                <w:numId w:val="2"/>
              </w:numPr>
              <w:tabs>
                <w:tab w:val="left" w:pos="723"/>
              </w:tabs>
              <w:spacing w:line="256" w:lineRule="auto"/>
              <w:ind w:right="-15"/>
            </w:pPr>
            <w:r w:rsidRPr="00C82EEF">
              <w:t>Identify all relevant regulatory obligations applicable to Dilosk’s activities and ensure the business has a clear understanding of its compliance responsibilities; assess the impact of new or evolving regulatory requirements.</w:t>
            </w:r>
          </w:p>
          <w:p w14:paraId="7AA5778D" w14:textId="75F37A9E" w:rsidR="00782D37" w:rsidRPr="00C82EEF" w:rsidRDefault="00782D37" w:rsidP="00A6771C">
            <w:pPr>
              <w:pStyle w:val="TableParagraph"/>
              <w:numPr>
                <w:ilvl w:val="0"/>
                <w:numId w:val="2"/>
              </w:numPr>
              <w:tabs>
                <w:tab w:val="left" w:pos="723"/>
              </w:tabs>
              <w:spacing w:line="256" w:lineRule="auto"/>
              <w:ind w:right="-15"/>
            </w:pPr>
            <w:r w:rsidRPr="00C82EEF">
              <w:t>Provide expert advice</w:t>
            </w:r>
            <w:r w:rsidR="00615D69" w:rsidRPr="00C82EEF">
              <w:t>,</w:t>
            </w:r>
            <w:r w:rsidRPr="00C82EEF">
              <w:t xml:space="preserve"> interpretation </w:t>
            </w:r>
            <w:r w:rsidR="00615D69" w:rsidRPr="00C82EEF">
              <w:t xml:space="preserve">and oversight </w:t>
            </w:r>
            <w:r w:rsidRPr="00C82EEF">
              <w:t xml:space="preserve">of regulatory obligations </w:t>
            </w:r>
            <w:r w:rsidR="00D853E7" w:rsidRPr="00C82EEF">
              <w:t xml:space="preserve">to </w:t>
            </w:r>
            <w:r w:rsidRPr="00C82EEF">
              <w:t>support senior management and business lines</w:t>
            </w:r>
            <w:r w:rsidR="00615D69" w:rsidRPr="00C82EEF">
              <w:t xml:space="preserve"> mitigate the compliance and AML/CFT risks identified</w:t>
            </w:r>
            <w:r w:rsidRPr="00C82EEF">
              <w:t>.</w:t>
            </w:r>
          </w:p>
          <w:p w14:paraId="38E85921" w14:textId="6829A6AE" w:rsidR="00782D37" w:rsidRPr="00C82EEF" w:rsidRDefault="00D853E7" w:rsidP="00A6771C">
            <w:pPr>
              <w:pStyle w:val="TableParagraph"/>
              <w:numPr>
                <w:ilvl w:val="0"/>
                <w:numId w:val="2"/>
              </w:numPr>
              <w:tabs>
                <w:tab w:val="left" w:pos="723"/>
              </w:tabs>
              <w:spacing w:line="256" w:lineRule="auto"/>
              <w:ind w:right="-15"/>
            </w:pPr>
            <w:r w:rsidRPr="00C82EEF">
              <w:t>Ensur</w:t>
            </w:r>
            <w:r w:rsidR="00C469CD">
              <w:t>e</w:t>
            </w:r>
            <w:r w:rsidRPr="00C82EEF">
              <w:t xml:space="preserve"> that compliance monitoring</w:t>
            </w:r>
            <w:r w:rsidR="00615D69" w:rsidRPr="00C82EEF">
              <w:t xml:space="preserve"> (including AML/CFT)</w:t>
            </w:r>
            <w:r w:rsidRPr="00C82EEF">
              <w:t xml:space="preserve"> is carried out through a structured and well-defined compliance monitoring programme and that the compliance policy is observed</w:t>
            </w:r>
            <w:r w:rsidR="00782D37" w:rsidRPr="00C82EEF">
              <w:t>.</w:t>
            </w:r>
          </w:p>
          <w:p w14:paraId="44B01909" w14:textId="77777777" w:rsidR="00782D37" w:rsidRPr="00C82EEF" w:rsidRDefault="00782D37" w:rsidP="00A6771C">
            <w:pPr>
              <w:pStyle w:val="TableParagraph"/>
              <w:numPr>
                <w:ilvl w:val="0"/>
                <w:numId w:val="2"/>
              </w:numPr>
              <w:tabs>
                <w:tab w:val="left" w:pos="723"/>
              </w:tabs>
              <w:spacing w:line="256" w:lineRule="auto"/>
              <w:ind w:right="-15"/>
            </w:pPr>
            <w:r w:rsidRPr="00C82EEF">
              <w:t>Manage the mandatory training requirements of the firm, promoting and encouraging a culture of compliance.</w:t>
            </w:r>
          </w:p>
          <w:p w14:paraId="32BD4423" w14:textId="5D748008" w:rsidR="00782D37" w:rsidRPr="00C82EEF" w:rsidRDefault="00256BEE" w:rsidP="00A6771C">
            <w:pPr>
              <w:pStyle w:val="TableParagraph"/>
              <w:numPr>
                <w:ilvl w:val="0"/>
                <w:numId w:val="2"/>
              </w:numPr>
              <w:tabs>
                <w:tab w:val="left" w:pos="723"/>
              </w:tabs>
              <w:spacing w:line="256" w:lineRule="auto"/>
              <w:ind w:right="-15"/>
            </w:pPr>
            <w:r w:rsidRPr="00C82EEF">
              <w:t>Report</w:t>
            </w:r>
            <w:r w:rsidR="00D853E7" w:rsidRPr="00C82EEF">
              <w:t xml:space="preserve"> to the </w:t>
            </w:r>
            <w:r w:rsidR="00A6771C" w:rsidRPr="00C82EEF">
              <w:t>B</w:t>
            </w:r>
            <w:r w:rsidR="00D853E7" w:rsidRPr="00C82EEF">
              <w:t xml:space="preserve">oard/relevant sub-committee and communicating as appropriate with the risk management function on the firm’s compliance risk and its management, to ensure that the findings of the compliance function are taken into account by the </w:t>
            </w:r>
            <w:r w:rsidR="00A6771C" w:rsidRPr="00C82EEF">
              <w:t>B</w:t>
            </w:r>
            <w:r w:rsidR="00D853E7" w:rsidRPr="00C82EEF">
              <w:t>oard and the risk management function in decision-making processes.</w:t>
            </w:r>
          </w:p>
          <w:p w14:paraId="21EBD2B3" w14:textId="53C4B46F" w:rsidR="00782D37" w:rsidRPr="00C82EEF" w:rsidRDefault="00782D37" w:rsidP="00A6771C">
            <w:pPr>
              <w:pStyle w:val="TableParagraph"/>
              <w:numPr>
                <w:ilvl w:val="0"/>
                <w:numId w:val="2"/>
              </w:numPr>
              <w:tabs>
                <w:tab w:val="left" w:pos="723"/>
              </w:tabs>
              <w:spacing w:line="256" w:lineRule="auto"/>
              <w:ind w:right="-15"/>
            </w:pPr>
            <w:r w:rsidRPr="00C82EEF">
              <w:t xml:space="preserve">Act as the primary contact for the </w:t>
            </w:r>
            <w:r w:rsidR="00611A5A" w:rsidRPr="00C82EEF">
              <w:t>CBI</w:t>
            </w:r>
            <w:r w:rsidRPr="00C82EEF">
              <w:t xml:space="preserve"> and other regulatory </w:t>
            </w:r>
            <w:r w:rsidRPr="00C82EEF">
              <w:lastRenderedPageBreak/>
              <w:t>bodies, fostering and maintaining a trusted and constructive relationship.</w:t>
            </w:r>
          </w:p>
          <w:p w14:paraId="48C6E1C7" w14:textId="7BF3ED9B" w:rsidR="00D853E7" w:rsidRPr="00C82EEF" w:rsidRDefault="00D853E7" w:rsidP="00A6771C">
            <w:pPr>
              <w:pStyle w:val="TableParagraph"/>
              <w:numPr>
                <w:ilvl w:val="0"/>
                <w:numId w:val="2"/>
              </w:numPr>
              <w:tabs>
                <w:tab w:val="left" w:pos="723"/>
              </w:tabs>
              <w:spacing w:line="256" w:lineRule="auto"/>
              <w:ind w:right="-15"/>
            </w:pPr>
            <w:r w:rsidRPr="00C82EEF">
              <w:t>Ensuring that the compliance function verifies, in close cooperation with the risk management function, that new products and new procedures comply with the current legal framework and, where appropriate, with any known forthcoming changes to legislation, regulations and supervisory requirements</w:t>
            </w:r>
            <w:r w:rsidR="00E12C9B">
              <w:t>.</w:t>
            </w:r>
          </w:p>
          <w:p w14:paraId="6F0911CF" w14:textId="57EF3BE8" w:rsidR="00E32FF0" w:rsidRPr="00C82EEF" w:rsidRDefault="00782D37" w:rsidP="00E32FF0">
            <w:pPr>
              <w:pStyle w:val="TableParagraph"/>
              <w:numPr>
                <w:ilvl w:val="0"/>
                <w:numId w:val="2"/>
              </w:numPr>
              <w:tabs>
                <w:tab w:val="left" w:pos="723"/>
              </w:tabs>
              <w:spacing w:line="256" w:lineRule="auto"/>
              <w:ind w:right="-15"/>
              <w:rPr>
                <w:lang w:val="en-IE"/>
              </w:rPr>
            </w:pPr>
            <w:r w:rsidRPr="00C82EEF">
              <w:t>MLRO</w:t>
            </w:r>
            <w:r w:rsidR="00E32FF0" w:rsidRPr="00C82EEF">
              <w:t xml:space="preserve"> Role</w:t>
            </w:r>
            <w:r w:rsidR="00256E1C" w:rsidRPr="00C82EEF">
              <w:t xml:space="preserve"> </w:t>
            </w:r>
            <w:r w:rsidR="00E32FF0" w:rsidRPr="00C82EEF">
              <w:t>–</w:t>
            </w:r>
            <w:r w:rsidR="00256E1C" w:rsidRPr="00C82EEF">
              <w:t xml:space="preserve"> </w:t>
            </w:r>
            <w:r w:rsidR="00E32FF0" w:rsidRPr="00C82EEF">
              <w:t xml:space="preserve">providing </w:t>
            </w:r>
            <w:r w:rsidR="00E32FF0" w:rsidRPr="00C82EEF">
              <w:rPr>
                <w:lang w:val="en-IE"/>
              </w:rPr>
              <w:t>oversight of the firms AML/CFT business wide risk assessment and customer risk assessment and development of the AML/CFT framework to mitigate those risks identified</w:t>
            </w:r>
            <w:r w:rsidR="00E12C9B">
              <w:rPr>
                <w:lang w:val="en-IE"/>
              </w:rPr>
              <w:t>.</w:t>
            </w:r>
          </w:p>
          <w:p w14:paraId="447CE967" w14:textId="3F344152" w:rsidR="00782D37" w:rsidRPr="00C82EEF" w:rsidRDefault="00782D37" w:rsidP="00E32FF0">
            <w:pPr>
              <w:pStyle w:val="TableParagraph"/>
              <w:numPr>
                <w:ilvl w:val="0"/>
                <w:numId w:val="2"/>
              </w:numPr>
              <w:tabs>
                <w:tab w:val="left" w:pos="723"/>
              </w:tabs>
              <w:spacing w:line="256" w:lineRule="auto"/>
              <w:ind w:right="-15"/>
            </w:pPr>
            <w:r w:rsidRPr="00C82EEF">
              <w:t xml:space="preserve">DPO </w:t>
            </w:r>
            <w:r w:rsidR="00C82EEF" w:rsidRPr="00C82EEF">
              <w:t xml:space="preserve">role – responsible </w:t>
            </w:r>
            <w:r w:rsidRPr="00C82EEF">
              <w:t xml:space="preserve">for the </w:t>
            </w:r>
            <w:r w:rsidR="009C2052" w:rsidRPr="00C82EEF">
              <w:t>f</w:t>
            </w:r>
            <w:r w:rsidRPr="00C82EEF">
              <w:t>irm’s compliance with Data Protection regulations (including, but not limited to, advice on DPIA and management of data subject requests).</w:t>
            </w:r>
          </w:p>
        </w:tc>
      </w:tr>
      <w:tr w:rsidR="00782D37" w14:paraId="255E4A44" w14:textId="77777777" w:rsidTr="00E33BEE">
        <w:trPr>
          <w:trHeight w:val="684"/>
        </w:trPr>
        <w:tc>
          <w:tcPr>
            <w:tcW w:w="1855" w:type="dxa"/>
            <w:tcBorders>
              <w:top w:val="single" w:sz="8" w:space="0" w:color="000000"/>
              <w:left w:val="single" w:sz="8" w:space="0" w:color="000000"/>
              <w:bottom w:val="single" w:sz="8" w:space="0" w:color="000000"/>
            </w:tcBorders>
          </w:tcPr>
          <w:p w14:paraId="796B4CC1" w14:textId="77777777" w:rsidR="00782D37" w:rsidRDefault="00782D37" w:rsidP="005C7AFE">
            <w:pPr>
              <w:pStyle w:val="TableParagraph"/>
              <w:spacing w:before="158"/>
              <w:ind w:left="59" w:firstLine="0"/>
              <w:rPr>
                <w:b/>
                <w:spacing w:val="-2"/>
                <w:sz w:val="24"/>
              </w:rPr>
            </w:pPr>
            <w:r>
              <w:rPr>
                <w:b/>
                <w:sz w:val="24"/>
              </w:rPr>
              <w:lastRenderedPageBreak/>
              <w:t>Experience and Education:</w:t>
            </w:r>
          </w:p>
        </w:tc>
        <w:tc>
          <w:tcPr>
            <w:tcW w:w="6682" w:type="dxa"/>
            <w:gridSpan w:val="3"/>
            <w:tcBorders>
              <w:top w:val="single" w:sz="8" w:space="0" w:color="000000"/>
              <w:bottom w:val="single" w:sz="8" w:space="0" w:color="000000"/>
              <w:right w:val="single" w:sz="8" w:space="0" w:color="000000"/>
            </w:tcBorders>
          </w:tcPr>
          <w:p w14:paraId="246C74B0" w14:textId="77777777" w:rsidR="00782D37" w:rsidRPr="00C82EEF" w:rsidRDefault="00782D37" w:rsidP="00A6771C">
            <w:pPr>
              <w:pStyle w:val="TableParagraph"/>
              <w:numPr>
                <w:ilvl w:val="0"/>
                <w:numId w:val="1"/>
              </w:numPr>
              <w:tabs>
                <w:tab w:val="left" w:pos="723"/>
              </w:tabs>
              <w:spacing w:before="158"/>
              <w:ind w:left="720" w:hanging="357"/>
            </w:pPr>
            <w:r w:rsidRPr="00C82EEF">
              <w:t>Significant</w:t>
            </w:r>
            <w:r w:rsidRPr="00C82EEF">
              <w:rPr>
                <w:spacing w:val="-4"/>
              </w:rPr>
              <w:t xml:space="preserve"> </w:t>
            </w:r>
            <w:r w:rsidRPr="00C82EEF">
              <w:t>experience</w:t>
            </w:r>
            <w:r w:rsidRPr="00C82EEF">
              <w:rPr>
                <w:spacing w:val="-6"/>
              </w:rPr>
              <w:t xml:space="preserve"> (minimum 7 years) in compliance, regulatory risk, or related function </w:t>
            </w:r>
            <w:r w:rsidRPr="00C82EEF">
              <w:t>in</w:t>
            </w:r>
            <w:r w:rsidRPr="00C82EEF">
              <w:rPr>
                <w:spacing w:val="-6"/>
              </w:rPr>
              <w:t xml:space="preserve"> </w:t>
            </w:r>
            <w:r w:rsidRPr="00C82EEF">
              <w:t xml:space="preserve">a retail credit/credit servicing firm or retail banking </w:t>
            </w:r>
            <w:r w:rsidRPr="00C82EEF">
              <w:rPr>
                <w:spacing w:val="-2"/>
              </w:rPr>
              <w:t>environment.</w:t>
            </w:r>
          </w:p>
          <w:p w14:paraId="6FC53F0E" w14:textId="2B5612A8" w:rsidR="00782D37" w:rsidRPr="00C82EEF" w:rsidRDefault="00782D37" w:rsidP="00A6771C">
            <w:pPr>
              <w:pStyle w:val="TableParagraph"/>
              <w:numPr>
                <w:ilvl w:val="0"/>
                <w:numId w:val="1"/>
              </w:numPr>
              <w:tabs>
                <w:tab w:val="left" w:pos="723"/>
              </w:tabs>
              <w:spacing w:before="4"/>
            </w:pPr>
            <w:r w:rsidRPr="00C82EEF">
              <w:t>Extensive</w:t>
            </w:r>
            <w:r w:rsidRPr="00C82EEF">
              <w:rPr>
                <w:spacing w:val="-5"/>
              </w:rPr>
              <w:t xml:space="preserve"> </w:t>
            </w:r>
            <w:r w:rsidRPr="00C82EEF">
              <w:t>knowledge</w:t>
            </w:r>
            <w:r w:rsidRPr="00C82EEF">
              <w:rPr>
                <w:spacing w:val="-1"/>
              </w:rPr>
              <w:t xml:space="preserve"> and experience of Irish and EU regulatory frameworks relevant to mortgage lending</w:t>
            </w:r>
            <w:r w:rsidR="00615D69" w:rsidRPr="00C82EEF">
              <w:rPr>
                <w:spacing w:val="-1"/>
              </w:rPr>
              <w:t xml:space="preserve">, </w:t>
            </w:r>
            <w:r w:rsidRPr="00C82EEF">
              <w:rPr>
                <w:spacing w:val="-1"/>
              </w:rPr>
              <w:t>credit servicing</w:t>
            </w:r>
            <w:r w:rsidR="00615D69" w:rsidRPr="00C82EEF">
              <w:rPr>
                <w:spacing w:val="-1"/>
              </w:rPr>
              <w:t xml:space="preserve"> and AML/CFT</w:t>
            </w:r>
            <w:r w:rsidRPr="00C82EEF">
              <w:rPr>
                <w:spacing w:val="-1"/>
              </w:rPr>
              <w:t xml:space="preserve">. </w:t>
            </w:r>
          </w:p>
          <w:p w14:paraId="7D10E1FC" w14:textId="20168136" w:rsidR="00782D37" w:rsidRPr="00C82EEF" w:rsidRDefault="00782D37" w:rsidP="00A6771C">
            <w:pPr>
              <w:pStyle w:val="TableParagraph"/>
              <w:numPr>
                <w:ilvl w:val="0"/>
                <w:numId w:val="1"/>
              </w:numPr>
              <w:tabs>
                <w:tab w:val="left" w:pos="723"/>
              </w:tabs>
              <w:spacing w:before="4"/>
            </w:pPr>
            <w:r w:rsidRPr="00C82EEF">
              <w:rPr>
                <w:spacing w:val="-1"/>
              </w:rPr>
              <w:t>Strong background in building</w:t>
            </w:r>
            <w:r w:rsidR="00D853E7" w:rsidRPr="00C82EEF">
              <w:rPr>
                <w:spacing w:val="-1"/>
              </w:rPr>
              <w:t xml:space="preserve">, </w:t>
            </w:r>
            <w:r w:rsidRPr="00C82EEF">
              <w:rPr>
                <w:spacing w:val="-1"/>
              </w:rPr>
              <w:t xml:space="preserve">enhancing </w:t>
            </w:r>
            <w:r w:rsidR="00D853E7" w:rsidRPr="00C82EEF">
              <w:rPr>
                <w:spacing w:val="-1"/>
              </w:rPr>
              <w:t xml:space="preserve">and embedding </w:t>
            </w:r>
            <w:r w:rsidRPr="00C82EEF">
              <w:rPr>
                <w:spacing w:val="-1"/>
              </w:rPr>
              <w:t>compliance frameworks.</w:t>
            </w:r>
          </w:p>
          <w:p w14:paraId="0BBA81F4" w14:textId="77777777" w:rsidR="00782D37" w:rsidRPr="00C82EEF" w:rsidRDefault="00782D37" w:rsidP="00A6771C">
            <w:pPr>
              <w:pStyle w:val="TableParagraph"/>
              <w:numPr>
                <w:ilvl w:val="0"/>
                <w:numId w:val="1"/>
              </w:numPr>
              <w:tabs>
                <w:tab w:val="left" w:pos="723"/>
              </w:tabs>
              <w:spacing w:line="254" w:lineRule="auto"/>
              <w:ind w:right="93"/>
            </w:pPr>
            <w:r w:rsidRPr="00C82EEF">
              <w:rPr>
                <w:spacing w:val="-2"/>
              </w:rPr>
              <w:t>Demonstrable senior leadership or management experience within a regulated financial environment.</w:t>
            </w:r>
          </w:p>
          <w:p w14:paraId="0D18156E" w14:textId="77777777" w:rsidR="00782D37" w:rsidRPr="00C82EEF" w:rsidRDefault="00782D37" w:rsidP="00A6771C">
            <w:pPr>
              <w:pStyle w:val="TableParagraph"/>
              <w:numPr>
                <w:ilvl w:val="0"/>
                <w:numId w:val="1"/>
              </w:numPr>
              <w:tabs>
                <w:tab w:val="left" w:pos="723"/>
              </w:tabs>
              <w:spacing w:line="254" w:lineRule="auto"/>
              <w:ind w:right="93"/>
            </w:pPr>
            <w:r w:rsidRPr="00C82EEF">
              <w:rPr>
                <w:spacing w:val="-2"/>
              </w:rPr>
              <w:t>Experience advising and influencing senior management / executive teams.</w:t>
            </w:r>
          </w:p>
          <w:p w14:paraId="6FFAE1BE" w14:textId="77777777" w:rsidR="00782D37" w:rsidRPr="00C82EEF" w:rsidRDefault="00782D37" w:rsidP="00A6771C">
            <w:pPr>
              <w:pStyle w:val="TableParagraph"/>
              <w:numPr>
                <w:ilvl w:val="0"/>
                <w:numId w:val="1"/>
              </w:numPr>
              <w:tabs>
                <w:tab w:val="left" w:pos="723"/>
              </w:tabs>
              <w:spacing w:before="20" w:line="254" w:lineRule="auto"/>
              <w:ind w:right="456"/>
            </w:pPr>
            <w:r w:rsidRPr="00C82EEF">
              <w:t>Well</w:t>
            </w:r>
            <w:r w:rsidRPr="00C82EEF">
              <w:rPr>
                <w:spacing w:val="-4"/>
              </w:rPr>
              <w:t xml:space="preserve"> </w:t>
            </w:r>
            <w:r w:rsidRPr="00C82EEF">
              <w:t>proven</w:t>
            </w:r>
            <w:r w:rsidRPr="00C82EEF">
              <w:rPr>
                <w:spacing w:val="-6"/>
              </w:rPr>
              <w:t xml:space="preserve"> </w:t>
            </w:r>
            <w:r w:rsidRPr="00C82EEF">
              <w:t>record</w:t>
            </w:r>
            <w:r w:rsidRPr="00C82EEF">
              <w:rPr>
                <w:spacing w:val="-4"/>
              </w:rPr>
              <w:t xml:space="preserve"> </w:t>
            </w:r>
            <w:r w:rsidRPr="00C82EEF">
              <w:t>in</w:t>
            </w:r>
            <w:r w:rsidRPr="00C82EEF">
              <w:rPr>
                <w:spacing w:val="-5"/>
              </w:rPr>
              <w:t xml:space="preserve"> </w:t>
            </w:r>
            <w:r w:rsidRPr="00C82EEF">
              <w:t>engaging</w:t>
            </w:r>
            <w:r w:rsidRPr="00C82EEF">
              <w:rPr>
                <w:spacing w:val="-5"/>
              </w:rPr>
              <w:t xml:space="preserve"> </w:t>
            </w:r>
            <w:r w:rsidRPr="00C82EEF">
              <w:t>with</w:t>
            </w:r>
            <w:r w:rsidRPr="00C82EEF">
              <w:rPr>
                <w:spacing w:val="-5"/>
              </w:rPr>
              <w:t xml:space="preserve"> the </w:t>
            </w:r>
            <w:r w:rsidRPr="00C82EEF">
              <w:t>Central</w:t>
            </w:r>
            <w:r w:rsidRPr="00C82EEF">
              <w:rPr>
                <w:spacing w:val="-4"/>
              </w:rPr>
              <w:t xml:space="preserve"> </w:t>
            </w:r>
            <w:r w:rsidRPr="00C82EEF">
              <w:t>Bank</w:t>
            </w:r>
            <w:r w:rsidRPr="00C82EEF">
              <w:rPr>
                <w:spacing w:val="-4"/>
              </w:rPr>
              <w:t xml:space="preserve"> </w:t>
            </w:r>
            <w:r w:rsidRPr="00C82EEF">
              <w:t>of Ireland and other regulatory bodies.</w:t>
            </w:r>
          </w:p>
          <w:p w14:paraId="06B32C7D" w14:textId="77777777" w:rsidR="00782D37" w:rsidRPr="00C82EEF" w:rsidRDefault="00782D37" w:rsidP="00A6771C">
            <w:pPr>
              <w:pStyle w:val="TableParagraph"/>
              <w:numPr>
                <w:ilvl w:val="0"/>
                <w:numId w:val="1"/>
              </w:numPr>
              <w:tabs>
                <w:tab w:val="left" w:pos="723"/>
              </w:tabs>
              <w:spacing w:before="6" w:line="254" w:lineRule="auto"/>
              <w:ind w:right="23"/>
            </w:pPr>
            <w:r w:rsidRPr="00C82EEF">
              <w:t>Experience</w:t>
            </w:r>
            <w:r w:rsidRPr="00C82EEF">
              <w:rPr>
                <w:spacing w:val="-6"/>
              </w:rPr>
              <w:t xml:space="preserve"> </w:t>
            </w:r>
            <w:r w:rsidRPr="00C82EEF">
              <w:t>in</w:t>
            </w:r>
            <w:r w:rsidRPr="00C82EEF">
              <w:rPr>
                <w:spacing w:val="-5"/>
              </w:rPr>
              <w:t xml:space="preserve"> </w:t>
            </w:r>
            <w:r w:rsidRPr="00C82EEF">
              <w:t>MLRO</w:t>
            </w:r>
            <w:r w:rsidRPr="00C82EEF">
              <w:rPr>
                <w:spacing w:val="-6"/>
              </w:rPr>
              <w:t xml:space="preserve"> </w:t>
            </w:r>
            <w:r w:rsidRPr="00C82EEF">
              <w:t>and</w:t>
            </w:r>
            <w:r w:rsidRPr="00C82EEF">
              <w:rPr>
                <w:spacing w:val="-6"/>
              </w:rPr>
              <w:t xml:space="preserve"> </w:t>
            </w:r>
            <w:r w:rsidRPr="00C82EEF">
              <w:t>DPO roles.</w:t>
            </w:r>
          </w:p>
          <w:p w14:paraId="22BE71A2" w14:textId="77777777" w:rsidR="00782D37" w:rsidRPr="00C82EEF" w:rsidRDefault="00782D37" w:rsidP="00A6771C">
            <w:pPr>
              <w:pStyle w:val="TableParagraph"/>
              <w:numPr>
                <w:ilvl w:val="0"/>
                <w:numId w:val="1"/>
              </w:numPr>
              <w:tabs>
                <w:tab w:val="left" w:pos="723"/>
              </w:tabs>
              <w:spacing w:before="1"/>
            </w:pPr>
            <w:r w:rsidRPr="00C82EEF">
              <w:t>Bachelor’s Degree in Law, Business, Finance, Risk Management or related field.</w:t>
            </w:r>
          </w:p>
          <w:p w14:paraId="7F1A0C7E" w14:textId="77777777" w:rsidR="00782D37" w:rsidRPr="00C82EEF" w:rsidRDefault="00782D37" w:rsidP="00A6771C">
            <w:pPr>
              <w:pStyle w:val="TableParagraph"/>
              <w:numPr>
                <w:ilvl w:val="0"/>
                <w:numId w:val="1"/>
              </w:numPr>
              <w:tabs>
                <w:tab w:val="left" w:pos="723"/>
              </w:tabs>
              <w:spacing w:before="1"/>
            </w:pPr>
            <w:r w:rsidRPr="00C82EEF">
              <w:t>R</w:t>
            </w:r>
            <w:r w:rsidRPr="00C82EEF">
              <w:rPr>
                <w:spacing w:val="-3"/>
              </w:rPr>
              <w:t>elevant professional or regulatory qualification (e.g., LCOI, ACOI, equivalent qualifications).</w:t>
            </w:r>
          </w:p>
        </w:tc>
      </w:tr>
      <w:tr w:rsidR="00782D37" w14:paraId="4B7D8102" w14:textId="77777777" w:rsidTr="00E33BEE">
        <w:trPr>
          <w:trHeight w:val="684"/>
        </w:trPr>
        <w:tc>
          <w:tcPr>
            <w:tcW w:w="1855" w:type="dxa"/>
            <w:tcBorders>
              <w:top w:val="single" w:sz="8" w:space="0" w:color="000000"/>
              <w:left w:val="single" w:sz="8" w:space="0" w:color="000000"/>
              <w:bottom w:val="single" w:sz="8" w:space="0" w:color="000000"/>
            </w:tcBorders>
          </w:tcPr>
          <w:p w14:paraId="2D53DC5C" w14:textId="77777777" w:rsidR="00782D37" w:rsidRDefault="00782D37" w:rsidP="005C7AFE">
            <w:pPr>
              <w:pStyle w:val="TableParagraph"/>
              <w:spacing w:before="158"/>
              <w:ind w:left="59" w:firstLine="0"/>
              <w:rPr>
                <w:b/>
                <w:sz w:val="24"/>
              </w:rPr>
            </w:pPr>
            <w:r>
              <w:rPr>
                <w:b/>
                <w:sz w:val="24"/>
              </w:rPr>
              <w:t>Skills</w:t>
            </w:r>
            <w:r>
              <w:rPr>
                <w:b/>
                <w:spacing w:val="-14"/>
                <w:sz w:val="24"/>
              </w:rPr>
              <w:t xml:space="preserve"> </w:t>
            </w:r>
            <w:r>
              <w:rPr>
                <w:b/>
                <w:sz w:val="24"/>
              </w:rPr>
              <w:t>and</w:t>
            </w:r>
            <w:r>
              <w:rPr>
                <w:b/>
                <w:spacing w:val="-14"/>
                <w:sz w:val="24"/>
              </w:rPr>
              <w:t xml:space="preserve"> </w:t>
            </w:r>
            <w:r>
              <w:rPr>
                <w:b/>
                <w:sz w:val="24"/>
              </w:rPr>
              <w:t xml:space="preserve">Personal </w:t>
            </w:r>
            <w:r>
              <w:rPr>
                <w:b/>
                <w:spacing w:val="-2"/>
                <w:sz w:val="24"/>
              </w:rPr>
              <w:t>profile:</w:t>
            </w:r>
          </w:p>
        </w:tc>
        <w:tc>
          <w:tcPr>
            <w:tcW w:w="6682" w:type="dxa"/>
            <w:gridSpan w:val="3"/>
            <w:tcBorders>
              <w:top w:val="single" w:sz="8" w:space="0" w:color="000000"/>
              <w:bottom w:val="single" w:sz="8" w:space="0" w:color="000000"/>
              <w:right w:val="single" w:sz="8" w:space="0" w:color="000000"/>
            </w:tcBorders>
          </w:tcPr>
          <w:p w14:paraId="05397E1B" w14:textId="77777777" w:rsidR="00782D37" w:rsidRPr="00C82EEF" w:rsidRDefault="00782D37" w:rsidP="00A6771C">
            <w:pPr>
              <w:pStyle w:val="TableParagraph"/>
              <w:spacing w:before="158"/>
              <w:ind w:left="59" w:firstLine="0"/>
            </w:pPr>
            <w:r w:rsidRPr="00C82EEF">
              <w:t>The</w:t>
            </w:r>
            <w:r w:rsidRPr="00C82EEF">
              <w:rPr>
                <w:spacing w:val="-2"/>
              </w:rPr>
              <w:t xml:space="preserve"> </w:t>
            </w:r>
            <w:r w:rsidRPr="00C82EEF">
              <w:t>ideal</w:t>
            </w:r>
            <w:r w:rsidRPr="00C82EEF">
              <w:rPr>
                <w:spacing w:val="-1"/>
              </w:rPr>
              <w:t xml:space="preserve"> </w:t>
            </w:r>
            <w:r w:rsidRPr="00C82EEF">
              <w:t>candidate</w:t>
            </w:r>
            <w:r w:rsidRPr="00C82EEF">
              <w:rPr>
                <w:spacing w:val="-2"/>
              </w:rPr>
              <w:t xml:space="preserve"> </w:t>
            </w:r>
            <w:r w:rsidRPr="00C82EEF">
              <w:t>will</w:t>
            </w:r>
            <w:r w:rsidRPr="00C82EEF">
              <w:rPr>
                <w:spacing w:val="-2"/>
              </w:rPr>
              <w:t xml:space="preserve"> demonstrate:</w:t>
            </w:r>
          </w:p>
          <w:p w14:paraId="09A78CA2" w14:textId="66543A51" w:rsidR="00782D37" w:rsidRPr="00C82EEF" w:rsidRDefault="00782D37" w:rsidP="00A6771C">
            <w:pPr>
              <w:pStyle w:val="TableParagraph"/>
              <w:numPr>
                <w:ilvl w:val="0"/>
                <w:numId w:val="1"/>
              </w:numPr>
              <w:tabs>
                <w:tab w:val="left" w:pos="723"/>
              </w:tabs>
              <w:spacing w:before="19"/>
            </w:pPr>
            <w:r w:rsidRPr="00C82EEF">
              <w:t>Strong motivation and resilience in</w:t>
            </w:r>
            <w:r w:rsidRPr="00C82EEF">
              <w:rPr>
                <w:spacing w:val="-3"/>
              </w:rPr>
              <w:t xml:space="preserve"> </w:t>
            </w:r>
            <w:r w:rsidRPr="00C82EEF">
              <w:t>an</w:t>
            </w:r>
            <w:r w:rsidRPr="00C82EEF">
              <w:rPr>
                <w:spacing w:val="-3"/>
              </w:rPr>
              <w:t xml:space="preserve"> </w:t>
            </w:r>
            <w:r w:rsidRPr="00C82EEF">
              <w:t>evolving regulatory and commercial</w:t>
            </w:r>
            <w:r w:rsidRPr="00C82EEF">
              <w:rPr>
                <w:spacing w:val="-1"/>
              </w:rPr>
              <w:t xml:space="preserve"> </w:t>
            </w:r>
            <w:r w:rsidRPr="00C82EEF">
              <w:rPr>
                <w:spacing w:val="-2"/>
              </w:rPr>
              <w:t>environment.</w:t>
            </w:r>
          </w:p>
          <w:p w14:paraId="7BCAC684" w14:textId="77777777" w:rsidR="00782D37" w:rsidRPr="00C82EEF" w:rsidRDefault="00782D37" w:rsidP="00A6771C">
            <w:pPr>
              <w:pStyle w:val="TableParagraph"/>
              <w:numPr>
                <w:ilvl w:val="0"/>
                <w:numId w:val="1"/>
              </w:numPr>
              <w:tabs>
                <w:tab w:val="left" w:pos="723"/>
              </w:tabs>
              <w:spacing w:before="20"/>
            </w:pPr>
            <w:r w:rsidRPr="00C82EEF">
              <w:t>Excellent</w:t>
            </w:r>
            <w:r w:rsidRPr="00C82EEF">
              <w:rPr>
                <w:spacing w:val="-2"/>
              </w:rPr>
              <w:t xml:space="preserve"> </w:t>
            </w:r>
            <w:r w:rsidRPr="00C82EEF">
              <w:t>interpersonal</w:t>
            </w:r>
            <w:r w:rsidRPr="00C82EEF">
              <w:rPr>
                <w:spacing w:val="-2"/>
              </w:rPr>
              <w:t xml:space="preserve"> and communicational skills, with the ability to advise, influence, and collaborate effectively across the organisation.</w:t>
            </w:r>
          </w:p>
          <w:p w14:paraId="2D2EA17A" w14:textId="77777777" w:rsidR="00782D37" w:rsidRPr="00C82EEF" w:rsidRDefault="00782D37" w:rsidP="00A6771C">
            <w:pPr>
              <w:pStyle w:val="TableParagraph"/>
              <w:numPr>
                <w:ilvl w:val="0"/>
                <w:numId w:val="1"/>
              </w:numPr>
              <w:tabs>
                <w:tab w:val="left" w:pos="723"/>
              </w:tabs>
              <w:spacing w:before="19" w:line="300" w:lineRule="exact"/>
            </w:pPr>
            <w:r w:rsidRPr="00C82EEF">
              <w:t>Excellent</w:t>
            </w:r>
            <w:r w:rsidRPr="00C82EEF">
              <w:rPr>
                <w:spacing w:val="-3"/>
              </w:rPr>
              <w:t xml:space="preserve"> </w:t>
            </w:r>
            <w:r w:rsidRPr="00C82EEF">
              <w:t>organisational</w:t>
            </w:r>
            <w:r w:rsidRPr="00C82EEF">
              <w:rPr>
                <w:spacing w:val="-1"/>
              </w:rPr>
              <w:t xml:space="preserve"> and prioritisation capabilities, accuracy and discipline, displaying strong initiative and sound judgement.</w:t>
            </w:r>
          </w:p>
          <w:p w14:paraId="70F591F8" w14:textId="77777777" w:rsidR="00782D37" w:rsidRPr="00C82EEF" w:rsidRDefault="00782D37" w:rsidP="00A6771C">
            <w:pPr>
              <w:pStyle w:val="TableParagraph"/>
              <w:numPr>
                <w:ilvl w:val="0"/>
                <w:numId w:val="1"/>
              </w:numPr>
              <w:tabs>
                <w:tab w:val="left" w:pos="723"/>
              </w:tabs>
              <w:spacing w:line="254" w:lineRule="auto"/>
              <w:ind w:right="36"/>
            </w:pPr>
            <w:r w:rsidRPr="00C82EEF">
              <w:t>Collaborative team</w:t>
            </w:r>
            <w:r w:rsidRPr="00C82EEF">
              <w:rPr>
                <w:spacing w:val="-4"/>
              </w:rPr>
              <w:t xml:space="preserve"> </w:t>
            </w:r>
            <w:r w:rsidRPr="00C82EEF">
              <w:t>leader</w:t>
            </w:r>
            <w:r w:rsidRPr="00C82EEF">
              <w:rPr>
                <w:spacing w:val="-5"/>
              </w:rPr>
              <w:t xml:space="preserve"> </w:t>
            </w:r>
            <w:r w:rsidRPr="00C82EEF">
              <w:t>who</w:t>
            </w:r>
            <w:r w:rsidRPr="00C82EEF">
              <w:rPr>
                <w:spacing w:val="-4"/>
              </w:rPr>
              <w:t xml:space="preserve"> </w:t>
            </w:r>
            <w:r w:rsidRPr="00C82EEF">
              <w:t>leads</w:t>
            </w:r>
            <w:r w:rsidRPr="00C82EEF">
              <w:rPr>
                <w:spacing w:val="-5"/>
              </w:rPr>
              <w:t xml:space="preserve"> </w:t>
            </w:r>
            <w:r w:rsidRPr="00C82EEF">
              <w:t>by</w:t>
            </w:r>
            <w:r w:rsidRPr="00C82EEF">
              <w:rPr>
                <w:spacing w:val="-4"/>
              </w:rPr>
              <w:t xml:space="preserve"> </w:t>
            </w:r>
            <w:r w:rsidRPr="00C82EEF">
              <w:t>example</w:t>
            </w:r>
            <w:r w:rsidRPr="00C82EEF">
              <w:rPr>
                <w:spacing w:val="-4"/>
              </w:rPr>
              <w:t xml:space="preserve"> </w:t>
            </w:r>
            <w:r w:rsidRPr="00C82EEF">
              <w:t>and</w:t>
            </w:r>
            <w:r w:rsidRPr="00C82EEF">
              <w:rPr>
                <w:spacing w:val="-5"/>
              </w:rPr>
              <w:t xml:space="preserve"> </w:t>
            </w:r>
            <w:r w:rsidRPr="00C82EEF">
              <w:t>contributes positively to a small and dynamic team while fostering a culture of integrity and accountability.</w:t>
            </w:r>
          </w:p>
          <w:p w14:paraId="17EDD055" w14:textId="77777777" w:rsidR="00782D37" w:rsidRPr="00C82EEF" w:rsidRDefault="00782D37" w:rsidP="00A6771C">
            <w:pPr>
              <w:pStyle w:val="TableParagraph"/>
              <w:numPr>
                <w:ilvl w:val="0"/>
                <w:numId w:val="1"/>
              </w:numPr>
              <w:tabs>
                <w:tab w:val="left" w:pos="723"/>
              </w:tabs>
            </w:pPr>
            <w:r w:rsidRPr="00C82EEF">
              <w:t>Solutions</w:t>
            </w:r>
            <w:r w:rsidRPr="00C82EEF">
              <w:rPr>
                <w:spacing w:val="-3"/>
              </w:rPr>
              <w:t xml:space="preserve">-focused </w:t>
            </w:r>
            <w:r w:rsidRPr="00C82EEF">
              <w:rPr>
                <w:spacing w:val="-2"/>
              </w:rPr>
              <w:t>mindset.</w:t>
            </w:r>
          </w:p>
          <w:p w14:paraId="195DFC76" w14:textId="77777777" w:rsidR="00782D37" w:rsidRPr="00C82EEF" w:rsidRDefault="00782D37" w:rsidP="00A6771C">
            <w:pPr>
              <w:pStyle w:val="TableParagraph"/>
              <w:numPr>
                <w:ilvl w:val="0"/>
                <w:numId w:val="1"/>
              </w:numPr>
              <w:tabs>
                <w:tab w:val="left" w:pos="723"/>
              </w:tabs>
              <w:spacing w:before="19"/>
            </w:pPr>
            <w:r w:rsidRPr="00C82EEF">
              <w:t>High degree of discretion and professionalism.</w:t>
            </w:r>
          </w:p>
          <w:p w14:paraId="45AAFB75" w14:textId="616265A0" w:rsidR="00782D37" w:rsidRPr="00C82EEF" w:rsidRDefault="00F67834" w:rsidP="00A6771C">
            <w:pPr>
              <w:pStyle w:val="TableParagraph"/>
              <w:numPr>
                <w:ilvl w:val="0"/>
                <w:numId w:val="1"/>
              </w:numPr>
              <w:tabs>
                <w:tab w:val="left" w:pos="723"/>
              </w:tabs>
              <w:spacing w:line="254" w:lineRule="auto"/>
              <w:ind w:right="93"/>
            </w:pPr>
            <w:r w:rsidRPr="00C82EEF">
              <w:lastRenderedPageBreak/>
              <w:t>A</w:t>
            </w:r>
            <w:r w:rsidR="00782D37" w:rsidRPr="00C82EEF">
              <w:t>bility to leverage technology and digital tools.</w:t>
            </w:r>
          </w:p>
        </w:tc>
      </w:tr>
    </w:tbl>
    <w:p w14:paraId="66D895B5" w14:textId="1F041A34" w:rsidR="00782D37" w:rsidRDefault="00FF108D" w:rsidP="00797C7B">
      <w:pPr>
        <w:jc w:val="center"/>
      </w:pPr>
      <w:r>
        <w:lastRenderedPageBreak/>
        <w:t>Applications with cover letter &amp; CV to HR@dilosk.com</w:t>
      </w:r>
    </w:p>
    <w:sectPr w:rsidR="00782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E31"/>
    <w:multiLevelType w:val="hybridMultilevel"/>
    <w:tmpl w:val="5FA48EE4"/>
    <w:lvl w:ilvl="0" w:tplc="2E18C314">
      <w:numFmt w:val="bullet"/>
      <w:lvlText w:val=""/>
      <w:lvlJc w:val="left"/>
      <w:pPr>
        <w:ind w:left="723" w:hanging="360"/>
      </w:pPr>
      <w:rPr>
        <w:rFonts w:ascii="Symbol" w:eastAsia="Symbol" w:hAnsi="Symbol" w:cs="Symbol" w:hint="default"/>
        <w:b w:val="0"/>
        <w:bCs w:val="0"/>
        <w:i w:val="0"/>
        <w:iCs w:val="0"/>
        <w:spacing w:val="0"/>
        <w:w w:val="100"/>
        <w:sz w:val="24"/>
        <w:szCs w:val="24"/>
        <w:lang w:val="en-US" w:eastAsia="en-US" w:bidi="ar-SA"/>
      </w:rPr>
    </w:lvl>
    <w:lvl w:ilvl="1" w:tplc="4C606BEC">
      <w:numFmt w:val="bullet"/>
      <w:lvlText w:val="•"/>
      <w:lvlJc w:val="left"/>
      <w:pPr>
        <w:ind w:left="1258" w:hanging="360"/>
      </w:pPr>
      <w:rPr>
        <w:rFonts w:hint="default"/>
        <w:lang w:val="en-US" w:eastAsia="en-US" w:bidi="ar-SA"/>
      </w:rPr>
    </w:lvl>
    <w:lvl w:ilvl="2" w:tplc="B994D9CA">
      <w:numFmt w:val="bullet"/>
      <w:lvlText w:val="•"/>
      <w:lvlJc w:val="left"/>
      <w:pPr>
        <w:ind w:left="1796" w:hanging="360"/>
      </w:pPr>
      <w:rPr>
        <w:rFonts w:hint="default"/>
        <w:lang w:val="en-US" w:eastAsia="en-US" w:bidi="ar-SA"/>
      </w:rPr>
    </w:lvl>
    <w:lvl w:ilvl="3" w:tplc="CE46EA58">
      <w:numFmt w:val="bullet"/>
      <w:lvlText w:val="•"/>
      <w:lvlJc w:val="left"/>
      <w:pPr>
        <w:ind w:left="2335" w:hanging="360"/>
      </w:pPr>
      <w:rPr>
        <w:rFonts w:hint="default"/>
        <w:lang w:val="en-US" w:eastAsia="en-US" w:bidi="ar-SA"/>
      </w:rPr>
    </w:lvl>
    <w:lvl w:ilvl="4" w:tplc="CC902530">
      <w:numFmt w:val="bullet"/>
      <w:lvlText w:val="•"/>
      <w:lvlJc w:val="left"/>
      <w:pPr>
        <w:ind w:left="2873" w:hanging="360"/>
      </w:pPr>
      <w:rPr>
        <w:rFonts w:hint="default"/>
        <w:lang w:val="en-US" w:eastAsia="en-US" w:bidi="ar-SA"/>
      </w:rPr>
    </w:lvl>
    <w:lvl w:ilvl="5" w:tplc="F34651EA">
      <w:numFmt w:val="bullet"/>
      <w:lvlText w:val="•"/>
      <w:lvlJc w:val="left"/>
      <w:pPr>
        <w:ind w:left="3412" w:hanging="360"/>
      </w:pPr>
      <w:rPr>
        <w:rFonts w:hint="default"/>
        <w:lang w:val="en-US" w:eastAsia="en-US" w:bidi="ar-SA"/>
      </w:rPr>
    </w:lvl>
    <w:lvl w:ilvl="6" w:tplc="D408B114">
      <w:numFmt w:val="bullet"/>
      <w:lvlText w:val="•"/>
      <w:lvlJc w:val="left"/>
      <w:pPr>
        <w:ind w:left="3950" w:hanging="360"/>
      </w:pPr>
      <w:rPr>
        <w:rFonts w:hint="default"/>
        <w:lang w:val="en-US" w:eastAsia="en-US" w:bidi="ar-SA"/>
      </w:rPr>
    </w:lvl>
    <w:lvl w:ilvl="7" w:tplc="EEE41FC2">
      <w:numFmt w:val="bullet"/>
      <w:lvlText w:val="•"/>
      <w:lvlJc w:val="left"/>
      <w:pPr>
        <w:ind w:left="4488" w:hanging="360"/>
      </w:pPr>
      <w:rPr>
        <w:rFonts w:hint="default"/>
        <w:lang w:val="en-US" w:eastAsia="en-US" w:bidi="ar-SA"/>
      </w:rPr>
    </w:lvl>
    <w:lvl w:ilvl="8" w:tplc="BF407160">
      <w:numFmt w:val="bullet"/>
      <w:lvlText w:val="•"/>
      <w:lvlJc w:val="left"/>
      <w:pPr>
        <w:ind w:left="5027" w:hanging="360"/>
      </w:pPr>
      <w:rPr>
        <w:rFonts w:hint="default"/>
        <w:lang w:val="en-US" w:eastAsia="en-US" w:bidi="ar-SA"/>
      </w:rPr>
    </w:lvl>
  </w:abstractNum>
  <w:abstractNum w:abstractNumId="1" w15:restartNumberingAfterBreak="0">
    <w:nsid w:val="4A637CE0"/>
    <w:multiLevelType w:val="hybridMultilevel"/>
    <w:tmpl w:val="C7EAFC9E"/>
    <w:lvl w:ilvl="0" w:tplc="18090001">
      <w:start w:val="1"/>
      <w:numFmt w:val="bullet"/>
      <w:lvlText w:val=""/>
      <w:lvlJc w:val="left"/>
      <w:pPr>
        <w:ind w:left="779" w:hanging="360"/>
      </w:pPr>
      <w:rPr>
        <w:rFonts w:ascii="Symbol" w:hAnsi="Symbol" w:hint="default"/>
      </w:rPr>
    </w:lvl>
    <w:lvl w:ilvl="1" w:tplc="18090003" w:tentative="1">
      <w:start w:val="1"/>
      <w:numFmt w:val="bullet"/>
      <w:lvlText w:val="o"/>
      <w:lvlJc w:val="left"/>
      <w:pPr>
        <w:ind w:left="1499" w:hanging="360"/>
      </w:pPr>
      <w:rPr>
        <w:rFonts w:ascii="Courier New" w:hAnsi="Courier New" w:cs="Courier New" w:hint="default"/>
      </w:rPr>
    </w:lvl>
    <w:lvl w:ilvl="2" w:tplc="18090005" w:tentative="1">
      <w:start w:val="1"/>
      <w:numFmt w:val="bullet"/>
      <w:lvlText w:val=""/>
      <w:lvlJc w:val="left"/>
      <w:pPr>
        <w:ind w:left="2219" w:hanging="360"/>
      </w:pPr>
      <w:rPr>
        <w:rFonts w:ascii="Wingdings" w:hAnsi="Wingdings" w:hint="default"/>
      </w:rPr>
    </w:lvl>
    <w:lvl w:ilvl="3" w:tplc="18090001" w:tentative="1">
      <w:start w:val="1"/>
      <w:numFmt w:val="bullet"/>
      <w:lvlText w:val=""/>
      <w:lvlJc w:val="left"/>
      <w:pPr>
        <w:ind w:left="2939" w:hanging="360"/>
      </w:pPr>
      <w:rPr>
        <w:rFonts w:ascii="Symbol" w:hAnsi="Symbol" w:hint="default"/>
      </w:rPr>
    </w:lvl>
    <w:lvl w:ilvl="4" w:tplc="18090003" w:tentative="1">
      <w:start w:val="1"/>
      <w:numFmt w:val="bullet"/>
      <w:lvlText w:val="o"/>
      <w:lvlJc w:val="left"/>
      <w:pPr>
        <w:ind w:left="3659" w:hanging="360"/>
      </w:pPr>
      <w:rPr>
        <w:rFonts w:ascii="Courier New" w:hAnsi="Courier New" w:cs="Courier New" w:hint="default"/>
      </w:rPr>
    </w:lvl>
    <w:lvl w:ilvl="5" w:tplc="18090005" w:tentative="1">
      <w:start w:val="1"/>
      <w:numFmt w:val="bullet"/>
      <w:lvlText w:val=""/>
      <w:lvlJc w:val="left"/>
      <w:pPr>
        <w:ind w:left="4379" w:hanging="360"/>
      </w:pPr>
      <w:rPr>
        <w:rFonts w:ascii="Wingdings" w:hAnsi="Wingdings" w:hint="default"/>
      </w:rPr>
    </w:lvl>
    <w:lvl w:ilvl="6" w:tplc="18090001" w:tentative="1">
      <w:start w:val="1"/>
      <w:numFmt w:val="bullet"/>
      <w:lvlText w:val=""/>
      <w:lvlJc w:val="left"/>
      <w:pPr>
        <w:ind w:left="5099" w:hanging="360"/>
      </w:pPr>
      <w:rPr>
        <w:rFonts w:ascii="Symbol" w:hAnsi="Symbol" w:hint="default"/>
      </w:rPr>
    </w:lvl>
    <w:lvl w:ilvl="7" w:tplc="18090003" w:tentative="1">
      <w:start w:val="1"/>
      <w:numFmt w:val="bullet"/>
      <w:lvlText w:val="o"/>
      <w:lvlJc w:val="left"/>
      <w:pPr>
        <w:ind w:left="5819" w:hanging="360"/>
      </w:pPr>
      <w:rPr>
        <w:rFonts w:ascii="Courier New" w:hAnsi="Courier New" w:cs="Courier New" w:hint="default"/>
      </w:rPr>
    </w:lvl>
    <w:lvl w:ilvl="8" w:tplc="18090005" w:tentative="1">
      <w:start w:val="1"/>
      <w:numFmt w:val="bullet"/>
      <w:lvlText w:val=""/>
      <w:lvlJc w:val="left"/>
      <w:pPr>
        <w:ind w:left="6539" w:hanging="360"/>
      </w:pPr>
      <w:rPr>
        <w:rFonts w:ascii="Wingdings" w:hAnsi="Wingdings" w:hint="default"/>
      </w:rPr>
    </w:lvl>
  </w:abstractNum>
  <w:abstractNum w:abstractNumId="2" w15:restartNumberingAfterBreak="0">
    <w:nsid w:val="6CF8267E"/>
    <w:multiLevelType w:val="hybridMultilevel"/>
    <w:tmpl w:val="D08AC48E"/>
    <w:lvl w:ilvl="0" w:tplc="3830F966">
      <w:numFmt w:val="bullet"/>
      <w:lvlText w:val=""/>
      <w:lvlJc w:val="left"/>
      <w:pPr>
        <w:ind w:left="723" w:hanging="360"/>
      </w:pPr>
      <w:rPr>
        <w:rFonts w:ascii="Symbol" w:eastAsia="Symbol" w:hAnsi="Symbol" w:cs="Symbol" w:hint="default"/>
        <w:b w:val="0"/>
        <w:bCs w:val="0"/>
        <w:i w:val="0"/>
        <w:iCs w:val="0"/>
        <w:spacing w:val="0"/>
        <w:w w:val="100"/>
        <w:sz w:val="24"/>
        <w:szCs w:val="24"/>
        <w:lang w:val="en-US" w:eastAsia="en-US" w:bidi="ar-SA"/>
      </w:rPr>
    </w:lvl>
    <w:lvl w:ilvl="1" w:tplc="803A9664">
      <w:numFmt w:val="bullet"/>
      <w:lvlText w:val="•"/>
      <w:lvlJc w:val="left"/>
      <w:pPr>
        <w:ind w:left="1258" w:hanging="360"/>
      </w:pPr>
      <w:rPr>
        <w:rFonts w:hint="default"/>
        <w:lang w:val="en-US" w:eastAsia="en-US" w:bidi="ar-SA"/>
      </w:rPr>
    </w:lvl>
    <w:lvl w:ilvl="2" w:tplc="0B06277E">
      <w:numFmt w:val="bullet"/>
      <w:lvlText w:val="•"/>
      <w:lvlJc w:val="left"/>
      <w:pPr>
        <w:ind w:left="1797" w:hanging="360"/>
      </w:pPr>
      <w:rPr>
        <w:rFonts w:hint="default"/>
        <w:lang w:val="en-US" w:eastAsia="en-US" w:bidi="ar-SA"/>
      </w:rPr>
    </w:lvl>
    <w:lvl w:ilvl="3" w:tplc="81E474BE">
      <w:numFmt w:val="bullet"/>
      <w:lvlText w:val="•"/>
      <w:lvlJc w:val="left"/>
      <w:pPr>
        <w:ind w:left="2335" w:hanging="360"/>
      </w:pPr>
      <w:rPr>
        <w:rFonts w:hint="default"/>
        <w:lang w:val="en-US" w:eastAsia="en-US" w:bidi="ar-SA"/>
      </w:rPr>
    </w:lvl>
    <w:lvl w:ilvl="4" w:tplc="3CBA13DA">
      <w:numFmt w:val="bullet"/>
      <w:lvlText w:val="•"/>
      <w:lvlJc w:val="left"/>
      <w:pPr>
        <w:ind w:left="2874" w:hanging="360"/>
      </w:pPr>
      <w:rPr>
        <w:rFonts w:hint="default"/>
        <w:lang w:val="en-US" w:eastAsia="en-US" w:bidi="ar-SA"/>
      </w:rPr>
    </w:lvl>
    <w:lvl w:ilvl="5" w:tplc="07FE1382">
      <w:numFmt w:val="bullet"/>
      <w:lvlText w:val="•"/>
      <w:lvlJc w:val="left"/>
      <w:pPr>
        <w:ind w:left="3413" w:hanging="360"/>
      </w:pPr>
      <w:rPr>
        <w:rFonts w:hint="default"/>
        <w:lang w:val="en-US" w:eastAsia="en-US" w:bidi="ar-SA"/>
      </w:rPr>
    </w:lvl>
    <w:lvl w:ilvl="6" w:tplc="BBA4F398">
      <w:numFmt w:val="bullet"/>
      <w:lvlText w:val="•"/>
      <w:lvlJc w:val="left"/>
      <w:pPr>
        <w:ind w:left="3951" w:hanging="360"/>
      </w:pPr>
      <w:rPr>
        <w:rFonts w:hint="default"/>
        <w:lang w:val="en-US" w:eastAsia="en-US" w:bidi="ar-SA"/>
      </w:rPr>
    </w:lvl>
    <w:lvl w:ilvl="7" w:tplc="D71E5C60">
      <w:numFmt w:val="bullet"/>
      <w:lvlText w:val="•"/>
      <w:lvlJc w:val="left"/>
      <w:pPr>
        <w:ind w:left="4490" w:hanging="360"/>
      </w:pPr>
      <w:rPr>
        <w:rFonts w:hint="default"/>
        <w:lang w:val="en-US" w:eastAsia="en-US" w:bidi="ar-SA"/>
      </w:rPr>
    </w:lvl>
    <w:lvl w:ilvl="8" w:tplc="4856611A">
      <w:numFmt w:val="bullet"/>
      <w:lvlText w:val="•"/>
      <w:lvlJc w:val="left"/>
      <w:pPr>
        <w:ind w:left="5028" w:hanging="360"/>
      </w:pPr>
      <w:rPr>
        <w:rFonts w:hint="default"/>
        <w:lang w:val="en-US" w:eastAsia="en-US" w:bidi="ar-SA"/>
      </w:rPr>
    </w:lvl>
  </w:abstractNum>
  <w:num w:numId="1" w16cid:durableId="1828940062">
    <w:abstractNumId w:val="0"/>
  </w:num>
  <w:num w:numId="2" w16cid:durableId="1250699120">
    <w:abstractNumId w:val="2"/>
  </w:num>
  <w:num w:numId="3" w16cid:durableId="26538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37"/>
    <w:rsid w:val="00070455"/>
    <w:rsid w:val="001030DD"/>
    <w:rsid w:val="001B09F9"/>
    <w:rsid w:val="001E71B0"/>
    <w:rsid w:val="00256BEE"/>
    <w:rsid w:val="00256E1C"/>
    <w:rsid w:val="00323F59"/>
    <w:rsid w:val="00497475"/>
    <w:rsid w:val="004D07DB"/>
    <w:rsid w:val="00542520"/>
    <w:rsid w:val="00611A5A"/>
    <w:rsid w:val="00615D69"/>
    <w:rsid w:val="00623F25"/>
    <w:rsid w:val="006875EA"/>
    <w:rsid w:val="006A1B4C"/>
    <w:rsid w:val="00782D37"/>
    <w:rsid w:val="00797C7B"/>
    <w:rsid w:val="009556F7"/>
    <w:rsid w:val="009C2052"/>
    <w:rsid w:val="00A6771C"/>
    <w:rsid w:val="00BA53F7"/>
    <w:rsid w:val="00BD1F63"/>
    <w:rsid w:val="00C03D88"/>
    <w:rsid w:val="00C125B5"/>
    <w:rsid w:val="00C23362"/>
    <w:rsid w:val="00C469CD"/>
    <w:rsid w:val="00C82EEF"/>
    <w:rsid w:val="00D853E7"/>
    <w:rsid w:val="00DC4BD9"/>
    <w:rsid w:val="00E12C9B"/>
    <w:rsid w:val="00E32FF0"/>
    <w:rsid w:val="00E33BEE"/>
    <w:rsid w:val="00F00222"/>
    <w:rsid w:val="00F67834"/>
    <w:rsid w:val="00FF108D"/>
    <w:rsid w:val="00FF3E19"/>
    <w:rsid w:val="6A6C3D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773C"/>
  <w15:chartTrackingRefBased/>
  <w15:docId w15:val="{F6AA2EFE-9138-4894-8E4B-A3C07960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37"/>
    <w:pPr>
      <w:widowControl w:val="0"/>
      <w:autoSpaceDE w:val="0"/>
      <w:autoSpaceDN w:val="0"/>
      <w:spacing w:after="0" w:line="240" w:lineRule="auto"/>
    </w:pPr>
    <w:rPr>
      <w:kern w:val="0"/>
      <w:lang w:val="en-US"/>
      <w14:ligatures w14:val="none"/>
    </w:rPr>
  </w:style>
  <w:style w:type="paragraph" w:styleId="Heading1">
    <w:name w:val="heading 1"/>
    <w:basedOn w:val="Normal"/>
    <w:next w:val="Normal"/>
    <w:link w:val="Heading1Char"/>
    <w:uiPriority w:val="9"/>
    <w:qFormat/>
    <w:rsid w:val="00782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D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D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D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D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D3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82D3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82D3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82D3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82D3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82D3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82D3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82D3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82D37"/>
    <w:rPr>
      <w:rFonts w:eastAsiaTheme="majorEastAsia" w:cstheme="majorBidi"/>
      <w:noProof/>
      <w:color w:val="272727" w:themeColor="text1" w:themeTint="D8"/>
    </w:rPr>
  </w:style>
  <w:style w:type="paragraph" w:styleId="Title">
    <w:name w:val="Title"/>
    <w:basedOn w:val="Normal"/>
    <w:next w:val="Normal"/>
    <w:link w:val="TitleChar"/>
    <w:uiPriority w:val="10"/>
    <w:qFormat/>
    <w:rsid w:val="00782D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D3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82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D3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82D37"/>
    <w:pPr>
      <w:spacing w:before="160"/>
      <w:jc w:val="center"/>
    </w:pPr>
    <w:rPr>
      <w:i/>
      <w:iCs/>
      <w:color w:val="404040" w:themeColor="text1" w:themeTint="BF"/>
    </w:rPr>
  </w:style>
  <w:style w:type="character" w:customStyle="1" w:styleId="QuoteChar">
    <w:name w:val="Quote Char"/>
    <w:basedOn w:val="DefaultParagraphFont"/>
    <w:link w:val="Quote"/>
    <w:uiPriority w:val="29"/>
    <w:rsid w:val="00782D37"/>
    <w:rPr>
      <w:i/>
      <w:iCs/>
      <w:noProof/>
      <w:color w:val="404040" w:themeColor="text1" w:themeTint="BF"/>
    </w:rPr>
  </w:style>
  <w:style w:type="paragraph" w:styleId="ListParagraph">
    <w:name w:val="List Paragraph"/>
    <w:basedOn w:val="Normal"/>
    <w:uiPriority w:val="34"/>
    <w:qFormat/>
    <w:rsid w:val="00782D37"/>
    <w:pPr>
      <w:ind w:left="720"/>
      <w:contextualSpacing/>
    </w:pPr>
  </w:style>
  <w:style w:type="character" w:styleId="IntenseEmphasis">
    <w:name w:val="Intense Emphasis"/>
    <w:basedOn w:val="DefaultParagraphFont"/>
    <w:uiPriority w:val="21"/>
    <w:qFormat/>
    <w:rsid w:val="00782D37"/>
    <w:rPr>
      <w:i/>
      <w:iCs/>
      <w:color w:val="0F4761" w:themeColor="accent1" w:themeShade="BF"/>
    </w:rPr>
  </w:style>
  <w:style w:type="paragraph" w:styleId="IntenseQuote">
    <w:name w:val="Intense Quote"/>
    <w:basedOn w:val="Normal"/>
    <w:next w:val="Normal"/>
    <w:link w:val="IntenseQuoteChar"/>
    <w:uiPriority w:val="30"/>
    <w:qFormat/>
    <w:rsid w:val="00782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D37"/>
    <w:rPr>
      <w:i/>
      <w:iCs/>
      <w:noProof/>
      <w:color w:val="0F4761" w:themeColor="accent1" w:themeShade="BF"/>
    </w:rPr>
  </w:style>
  <w:style w:type="character" w:styleId="IntenseReference">
    <w:name w:val="Intense Reference"/>
    <w:basedOn w:val="DefaultParagraphFont"/>
    <w:uiPriority w:val="32"/>
    <w:qFormat/>
    <w:rsid w:val="00782D37"/>
    <w:rPr>
      <w:b/>
      <w:bCs/>
      <w:smallCaps/>
      <w:color w:val="0F4761" w:themeColor="accent1" w:themeShade="BF"/>
      <w:spacing w:val="5"/>
    </w:rPr>
  </w:style>
  <w:style w:type="paragraph" w:customStyle="1" w:styleId="TableParagraph">
    <w:name w:val="Table Paragraph"/>
    <w:basedOn w:val="Normal"/>
    <w:uiPriority w:val="1"/>
    <w:qFormat/>
    <w:rsid w:val="00782D37"/>
    <w:pPr>
      <w:ind w:left="723" w:hanging="360"/>
    </w:pPr>
    <w:rPr>
      <w:rFonts w:ascii="Calibri" w:eastAsia="Calibri" w:hAnsi="Calibri" w:cs="Calibri"/>
    </w:rPr>
  </w:style>
  <w:style w:type="paragraph" w:styleId="Revision">
    <w:name w:val="Revision"/>
    <w:hidden/>
    <w:uiPriority w:val="99"/>
    <w:semiHidden/>
    <w:rsid w:val="00D853E7"/>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615D69"/>
    <w:rPr>
      <w:sz w:val="16"/>
      <w:szCs w:val="16"/>
    </w:rPr>
  </w:style>
  <w:style w:type="paragraph" w:styleId="CommentText">
    <w:name w:val="annotation text"/>
    <w:basedOn w:val="Normal"/>
    <w:link w:val="CommentTextChar"/>
    <w:uiPriority w:val="99"/>
    <w:unhideWhenUsed/>
    <w:rsid w:val="00615D69"/>
    <w:rPr>
      <w:sz w:val="20"/>
      <w:szCs w:val="20"/>
    </w:rPr>
  </w:style>
  <w:style w:type="character" w:customStyle="1" w:styleId="CommentTextChar">
    <w:name w:val="Comment Text Char"/>
    <w:basedOn w:val="DefaultParagraphFont"/>
    <w:link w:val="CommentText"/>
    <w:uiPriority w:val="99"/>
    <w:rsid w:val="00615D6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5D69"/>
    <w:rPr>
      <w:b/>
      <w:bCs/>
    </w:rPr>
  </w:style>
  <w:style w:type="character" w:customStyle="1" w:styleId="CommentSubjectChar">
    <w:name w:val="Comment Subject Char"/>
    <w:basedOn w:val="CommentTextChar"/>
    <w:link w:val="CommentSubject"/>
    <w:uiPriority w:val="99"/>
    <w:semiHidden/>
    <w:rsid w:val="00615D69"/>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21B536D011F46A3E5C3B5EF3F4B45" ma:contentTypeVersion="19" ma:contentTypeDescription="Create a new document." ma:contentTypeScope="" ma:versionID="041288caa58cdbc89a0808b9cd187c86">
  <xsd:schema xmlns:xsd="http://www.w3.org/2001/XMLSchema" xmlns:xs="http://www.w3.org/2001/XMLSchema" xmlns:p="http://schemas.microsoft.com/office/2006/metadata/properties" xmlns:ns1="http://schemas.microsoft.com/sharepoint/v3" xmlns:ns2="dc916803-c8d3-4404-b2dc-2779b7af9e31" xmlns:ns3="150677f9-b8d9-47ff-93da-61e06b7f8d2d" targetNamespace="http://schemas.microsoft.com/office/2006/metadata/properties" ma:root="true" ma:fieldsID="599b6f4b74e198185a860b33d584198d" ns1:_="" ns2:_="" ns3:_="">
    <xsd:import namespace="http://schemas.microsoft.com/sharepoint/v3"/>
    <xsd:import namespace="dc916803-c8d3-4404-b2dc-2779b7af9e31"/>
    <xsd:import namespace="150677f9-b8d9-47ff-93da-61e06b7f8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16803-c8d3-4404-b2dc-2779b7af9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d7adb6-f535-4ea0-bf23-8b4ca4f26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677f9-b8d9-47ff-93da-61e06b7f8d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aa64a7-9b12-42de-ac42-e4f814fbabb4}" ma:internalName="TaxCatchAll" ma:showField="CatchAllData" ma:web="150677f9-b8d9-47ff-93da-61e06b7f8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916803-c8d3-4404-b2dc-2779b7af9e3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50677f9-b8d9-47ff-93da-61e06b7f8d2d" xsi:nil="true"/>
  </documentManagement>
</p:properties>
</file>

<file path=customXml/itemProps1.xml><?xml version="1.0" encoding="utf-8"?>
<ds:datastoreItem xmlns:ds="http://schemas.openxmlformats.org/officeDocument/2006/customXml" ds:itemID="{D40FB288-E5C7-4DF8-BE57-526849D88FD5}">
  <ds:schemaRefs>
    <ds:schemaRef ds:uri="http://schemas.microsoft.com/sharepoint/v3/contenttype/forms"/>
  </ds:schemaRefs>
</ds:datastoreItem>
</file>

<file path=customXml/itemProps2.xml><?xml version="1.0" encoding="utf-8"?>
<ds:datastoreItem xmlns:ds="http://schemas.openxmlformats.org/officeDocument/2006/customXml" ds:itemID="{DF2D785B-532B-4D10-B2D6-AF84A8EEC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916803-c8d3-4404-b2dc-2779b7af9e31"/>
    <ds:schemaRef ds:uri="150677f9-b8d9-47ff-93da-61e06b7f8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F8924-E0A5-4A7E-9EA4-1202F3B53AB6}">
  <ds:schemaRefs>
    <ds:schemaRef ds:uri="http://schemas.microsoft.com/office/2006/metadata/properties"/>
    <ds:schemaRef ds:uri="http://schemas.microsoft.com/office/infopath/2007/PartnerControls"/>
    <ds:schemaRef ds:uri="dc916803-c8d3-4404-b2dc-2779b7af9e31"/>
    <ds:schemaRef ds:uri="http://schemas.microsoft.com/sharepoint/v3"/>
    <ds:schemaRef ds:uri="150677f9-b8d9-47ff-93da-61e06b7f8d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Stefanic</dc:creator>
  <cp:keywords/>
  <dc:description/>
  <cp:lastModifiedBy>Dee McCarthy</cp:lastModifiedBy>
  <cp:revision>14</cp:revision>
  <dcterms:created xsi:type="dcterms:W3CDTF">2026-04-01T13:22:00Z</dcterms:created>
  <dcterms:modified xsi:type="dcterms:W3CDTF">2026-04-29T15:45:00Z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0x010100E2421B536D011F46A3E5C3B5EF3F4B45</vt:lpwstr>
  </property>
  <property fmtid="{D5CDD505-2E9C-101B-9397-08002B2CF9AE}" pid="3" name="MediaServiceImageTags">
    <vt:lpwstr/>
  </property>
</Properties>
</file>